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BC6" w:rsidRPr="006A1BC6" w:rsidRDefault="006A1BC6" w:rsidP="006A1BC6">
      <w:pPr>
        <w:numPr>
          <w:ilvl w:val="0"/>
          <w:numId w:val="1"/>
        </w:numPr>
        <w:spacing w:before="100" w:beforeAutospacing="1" w:after="100" w:afterAutospacing="1" w:line="390" w:lineRule="atLeast"/>
        <w:ind w:left="-225"/>
        <w:textAlignment w:val="top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6A1BC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Dispositif de clinique indirecte concertée</w:t>
      </w:r>
    </w:p>
    <w:p w:rsidR="006A1BC6" w:rsidRPr="006A1BC6" w:rsidRDefault="006A1BC6" w:rsidP="006A1BC6">
      <w:pPr>
        <w:numPr>
          <w:ilvl w:val="0"/>
          <w:numId w:val="1"/>
        </w:numPr>
        <w:spacing w:before="100" w:beforeAutospacing="1" w:after="100" w:afterAutospacing="1" w:line="390" w:lineRule="atLeast"/>
        <w:ind w:left="-225"/>
        <w:textAlignment w:val="top"/>
        <w:rPr>
          <w:rFonts w:ascii="Times New Roman" w:eastAsia="Times New Roman" w:hAnsi="Times New Roman" w:cs="Times New Roman"/>
          <w:b/>
          <w:bCs/>
          <w:color w:val="656565"/>
          <w:sz w:val="30"/>
          <w:szCs w:val="30"/>
          <w:lang w:eastAsia="fr-FR"/>
        </w:rPr>
      </w:pPr>
      <w:r w:rsidRPr="006A1BC6">
        <w:rPr>
          <w:rFonts w:ascii="Times New Roman" w:eastAsia="Times New Roman" w:hAnsi="Times New Roman" w:cs="Times New Roman"/>
          <w:b/>
          <w:bCs/>
          <w:color w:val="656565"/>
          <w:sz w:val="30"/>
          <w:szCs w:val="30"/>
          <w:lang w:eastAsia="fr-FR"/>
        </w:rPr>
        <w:t>Lorsque la complexité des situations adolescentes exige la mise en œuvre d’une groupalité inter-institutionnelle novatrice</w:t>
      </w:r>
    </w:p>
    <w:p w:rsidR="006A1BC6" w:rsidRPr="006A1BC6" w:rsidRDefault="006A1BC6" w:rsidP="006A1BC6">
      <w:pPr>
        <w:numPr>
          <w:ilvl w:val="0"/>
          <w:numId w:val="1"/>
        </w:numPr>
        <w:spacing w:before="100" w:beforeAutospacing="1" w:after="100" w:afterAutospacing="1" w:line="420" w:lineRule="atLeast"/>
        <w:ind w:left="-225"/>
        <w:textAlignment w:val="top"/>
        <w:rPr>
          <w:rFonts w:ascii="Alegreya" w:eastAsia="Times New Roman" w:hAnsi="Alegreya" w:cs="Times New Roman"/>
          <w:sz w:val="30"/>
          <w:szCs w:val="30"/>
          <w:lang w:eastAsia="fr-FR"/>
        </w:rPr>
      </w:pPr>
      <w:hyperlink r:id="rId5" w:history="1">
        <w:r w:rsidRPr="006A1BC6">
          <w:rPr>
            <w:rFonts w:ascii="Alegreya" w:eastAsia="Times New Roman" w:hAnsi="Alegreya" w:cs="Times New Roman"/>
            <w:b/>
            <w:bCs/>
            <w:color w:val="0000FF"/>
            <w:sz w:val="30"/>
            <w:szCs w:val="30"/>
            <w:u w:val="single"/>
            <w:lang w:eastAsia="fr-FR"/>
          </w:rPr>
          <w:t>Nathalie Reymond-</w:t>
        </w:r>
        <w:proofErr w:type="spellStart"/>
        <w:r w:rsidRPr="006A1BC6">
          <w:rPr>
            <w:rFonts w:ascii="Alegreya" w:eastAsia="Times New Roman" w:hAnsi="Alegreya" w:cs="Times New Roman"/>
            <w:b/>
            <w:bCs/>
            <w:color w:val="0000FF"/>
            <w:sz w:val="30"/>
            <w:szCs w:val="30"/>
            <w:u w:val="single"/>
            <w:lang w:eastAsia="fr-FR"/>
          </w:rPr>
          <w:t>Babolat</w:t>
        </w:r>
        <w:proofErr w:type="spellEnd"/>
      </w:hyperlink>
    </w:p>
    <w:p w:rsidR="006A1BC6" w:rsidRPr="006A1BC6" w:rsidRDefault="006A1BC6" w:rsidP="006A1BC6">
      <w:pPr>
        <w:numPr>
          <w:ilvl w:val="0"/>
          <w:numId w:val="1"/>
        </w:numPr>
        <w:spacing w:before="100" w:beforeAutospacing="1" w:after="100" w:afterAutospacing="1" w:line="420" w:lineRule="atLeast"/>
        <w:ind w:left="-225"/>
        <w:textAlignment w:val="top"/>
        <w:rPr>
          <w:rFonts w:ascii="Alegreya SC" w:eastAsia="Times New Roman" w:hAnsi="Alegreya SC" w:cs="Times New Roman"/>
          <w:sz w:val="30"/>
          <w:szCs w:val="30"/>
          <w:lang w:eastAsia="fr-FR"/>
        </w:rPr>
      </w:pPr>
      <w:r w:rsidRPr="006A1BC6">
        <w:rPr>
          <w:rFonts w:ascii="Alegreya Sans SC" w:eastAsia="Times New Roman" w:hAnsi="Alegreya Sans SC" w:cs="Times New Roman"/>
          <w:sz w:val="30"/>
          <w:szCs w:val="30"/>
          <w:lang w:eastAsia="fr-FR"/>
        </w:rPr>
        <w:t>Dans </w:t>
      </w:r>
      <w:hyperlink r:id="rId6" w:history="1">
        <w:r w:rsidRPr="006A1BC6">
          <w:rPr>
            <w:rFonts w:ascii="Alegreya SC" w:eastAsia="Times New Roman" w:hAnsi="Alegreya SC" w:cs="Times New Roman"/>
            <w:b/>
            <w:bCs/>
            <w:color w:val="0000FF"/>
            <w:sz w:val="30"/>
            <w:szCs w:val="30"/>
            <w:u w:val="single"/>
            <w:lang w:eastAsia="fr-FR"/>
          </w:rPr>
          <w:t>Cahiers de psychologie clinique</w:t>
        </w:r>
      </w:hyperlink>
      <w:r w:rsidRPr="006A1BC6">
        <w:rPr>
          <w:rFonts w:ascii="Alegreya Sans SC" w:eastAsia="Times New Roman" w:hAnsi="Alegreya Sans SC" w:cs="Times New Roman"/>
          <w:sz w:val="30"/>
          <w:szCs w:val="30"/>
          <w:lang w:eastAsia="fr-FR"/>
        </w:rPr>
        <w:t> </w:t>
      </w:r>
      <w:hyperlink r:id="rId7" w:history="1">
        <w:r w:rsidRPr="006A1BC6">
          <w:rPr>
            <w:rFonts w:ascii="Alegreya" w:eastAsia="Times New Roman" w:hAnsi="Alegreya" w:cs="Times New Roman"/>
            <w:b/>
            <w:bCs/>
            <w:color w:val="0000FF"/>
            <w:sz w:val="30"/>
            <w:szCs w:val="30"/>
            <w:u w:val="single"/>
            <w:lang w:eastAsia="fr-FR"/>
          </w:rPr>
          <w:t>2021/2 (n° 57)</w:t>
        </w:r>
      </w:hyperlink>
      <w:r w:rsidRPr="006A1BC6">
        <w:rPr>
          <w:rFonts w:ascii="Alegreya Sans SC" w:eastAsia="Times New Roman" w:hAnsi="Alegreya Sans SC" w:cs="Times New Roman"/>
          <w:sz w:val="30"/>
          <w:szCs w:val="30"/>
          <w:lang w:eastAsia="fr-FR"/>
        </w:rPr>
        <w:t>, pages 123 à 141</w:t>
      </w:r>
    </w:p>
    <w:p w:rsidR="006A1BC6" w:rsidRPr="006A1BC6" w:rsidRDefault="006A1BC6" w:rsidP="006A1BC6">
      <w:pPr>
        <w:spacing w:before="100" w:beforeAutospacing="1" w:after="100" w:afterAutospacing="1" w:line="420" w:lineRule="atLeast"/>
        <w:ind w:left="-225"/>
        <w:textAlignment w:val="top"/>
        <w:rPr>
          <w:rFonts w:ascii="Alegreya SC" w:eastAsia="Times New Roman" w:hAnsi="Alegreya SC" w:cs="Times New Roman"/>
          <w:b/>
          <w:sz w:val="30"/>
          <w:szCs w:val="30"/>
          <w:lang w:eastAsia="fr-FR"/>
        </w:rPr>
      </w:pPr>
      <w:r w:rsidRPr="006A1BC6">
        <w:rPr>
          <w:rFonts w:ascii="Alegreya SC" w:eastAsia="Times New Roman" w:hAnsi="Alegreya SC" w:cs="Times New Roman"/>
          <w:b/>
          <w:sz w:val="30"/>
          <w:szCs w:val="30"/>
          <w:u w:val="single"/>
          <w:lang w:eastAsia="fr-FR"/>
        </w:rPr>
        <w:t>Résumé</w:t>
      </w:r>
    </w:p>
    <w:p w:rsidR="006A1BC6" w:rsidRPr="006A1BC6" w:rsidRDefault="006A1BC6" w:rsidP="006A1BC6">
      <w:pPr>
        <w:spacing w:before="100" w:beforeAutospacing="1" w:after="0" w:line="240" w:lineRule="auto"/>
        <w:ind w:left="-2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A1BC6" w:rsidRDefault="006A1BC6" w:rsidP="006A1BC6">
      <w:pPr>
        <w:shd w:val="clear" w:color="auto" w:fill="FAFAFA"/>
        <w:spacing w:after="203" w:line="240" w:lineRule="auto"/>
        <w:rPr>
          <w:rFonts w:ascii="Alegreya" w:eastAsia="Times New Roman" w:hAnsi="Alegreya" w:cs="Times New Roman"/>
          <w:color w:val="323232"/>
          <w:sz w:val="30"/>
          <w:szCs w:val="30"/>
          <w:lang w:eastAsia="fr-FR"/>
        </w:rPr>
      </w:pPr>
      <w:r w:rsidRPr="006A1BC6">
        <w:rPr>
          <w:rFonts w:ascii="Alegreya" w:eastAsia="Times New Roman" w:hAnsi="Alegreya" w:cs="Times New Roman"/>
          <w:i/>
          <w:iCs/>
          <w:color w:val="323232"/>
          <w:sz w:val="30"/>
          <w:szCs w:val="30"/>
          <w:lang w:eastAsia="fr-FR"/>
        </w:rPr>
        <w:t>La santé, prise en compte dans sa globalité par l’OMS dès 1946</w:t>
      </w:r>
      <w:r w:rsidRPr="006A1BC6">
        <w:rPr>
          <w:rFonts w:ascii="Alegreya" w:eastAsia="Times New Roman" w:hAnsi="Alegreya" w:cs="Times New Roman"/>
          <w:color w:val="323232"/>
          <w:sz w:val="30"/>
          <w:szCs w:val="30"/>
          <w:lang w:eastAsia="fr-FR"/>
        </w:rPr>
        <w:t> </w:t>
      </w:r>
      <w:hyperlink r:id="rId8" w:anchor="no1" w:history="1">
        <w:r w:rsidRPr="006A1BC6">
          <w:rPr>
            <w:rFonts w:ascii="Alegreya" w:eastAsia="Times New Roman" w:hAnsi="Alegreya" w:cs="Times New Roman"/>
            <w:b/>
            <w:bCs/>
            <w:color w:val="2BA39B"/>
            <w:sz w:val="20"/>
            <w:szCs w:val="20"/>
            <w:u w:val="single"/>
            <w:lang w:eastAsia="fr-FR"/>
          </w:rPr>
          <w:t>[1]</w:t>
        </w:r>
      </w:hyperlink>
      <w:r w:rsidRPr="006A1BC6">
        <w:rPr>
          <w:rFonts w:ascii="Alegreya" w:eastAsia="Times New Roman" w:hAnsi="Alegreya" w:cs="Times New Roman"/>
          <w:color w:val="323232"/>
          <w:sz w:val="30"/>
          <w:szCs w:val="30"/>
          <w:lang w:eastAsia="fr-FR"/>
        </w:rPr>
        <w:t>, </w:t>
      </w:r>
      <w:r w:rsidRPr="006A1BC6">
        <w:rPr>
          <w:rFonts w:ascii="Alegreya" w:eastAsia="Times New Roman" w:hAnsi="Alegreya" w:cs="Times New Roman"/>
          <w:i/>
          <w:iCs/>
          <w:color w:val="323232"/>
          <w:sz w:val="30"/>
          <w:szCs w:val="30"/>
          <w:lang w:eastAsia="fr-FR"/>
        </w:rPr>
        <w:t>concerne les sphères somatique, psychique et sociale. Ainsi définie, elle se doit d’inclure les acteurs de chacun de ces champs. Afin de penser et d’organiser leurs liens, il a été mis en place des « réseaux de santé »</w:t>
      </w:r>
      <w:r w:rsidRPr="006A1BC6">
        <w:rPr>
          <w:rFonts w:ascii="Alegreya" w:eastAsia="Times New Roman" w:hAnsi="Alegreya" w:cs="Times New Roman"/>
          <w:color w:val="323232"/>
          <w:sz w:val="30"/>
          <w:szCs w:val="30"/>
          <w:lang w:eastAsia="fr-FR"/>
        </w:rPr>
        <w:t>, dont les réseaux pour « adolescents en grande difficulté ». Ces réseaux ont initié un changement dans les institutions, non pas de leur pratique, mais de la façon de penser leur pratique : la penser reliée dans un maillage partenarial, la penser « en réseau ».</w:t>
      </w:r>
      <w:r w:rsidRPr="006A1BC6">
        <w:rPr>
          <w:rFonts w:ascii="Alegreya" w:eastAsia="Times New Roman" w:hAnsi="Alegreya" w:cs="Times New Roman"/>
          <w:color w:val="323232"/>
          <w:sz w:val="30"/>
          <w:szCs w:val="30"/>
          <w:lang w:eastAsia="fr-FR"/>
        </w:rPr>
        <w:br/>
        <w:t>Cet article propose de contribuer à la réflexion sur les pratiques de travail « en réseau » à partir du champ théorique psychanalytique groupal du lien. Il viendra discuter, au travers de l’expérience du Dispositif de Clinique Indirecte Concertée Arpège, des modalités de liaison interinstitutionnelle à l’usage des professionnels et indirectement, des adolescents et de leur famille. Le cadre clinique des réunions dites « de coordination » proposé par l’équipe s’ajuste continuellement pour permettre à cet ensemble impliqué de se lier, de partager et de constituer pour le sujet un nouveau contenant psychique.</w:t>
      </w:r>
    </w:p>
    <w:p w:rsidR="006A1BC6" w:rsidRPr="006A1BC6" w:rsidRDefault="006A1BC6" w:rsidP="006A1BC6">
      <w:pPr>
        <w:shd w:val="clear" w:color="auto" w:fill="FAFAFA"/>
        <w:spacing w:after="203" w:line="240" w:lineRule="auto"/>
        <w:rPr>
          <w:rFonts w:ascii="Alegreya" w:eastAsia="Times New Roman" w:hAnsi="Alegreya" w:cs="Times New Roman"/>
          <w:color w:val="0070C0"/>
          <w:sz w:val="30"/>
          <w:szCs w:val="30"/>
          <w:lang w:eastAsia="fr-FR"/>
        </w:rPr>
      </w:pPr>
      <w:r w:rsidRPr="006A1BC6">
        <w:rPr>
          <w:rFonts w:ascii="Alegreya" w:eastAsia="Times New Roman" w:hAnsi="Alegreya" w:cs="Times New Roman"/>
          <w:color w:val="0070C0"/>
          <w:sz w:val="30"/>
          <w:szCs w:val="30"/>
          <w:lang w:eastAsia="fr-FR"/>
        </w:rPr>
        <w:t>LIEN : https://www.cairn.info/revue-cahiers-de-psychologie-clinique-2021-2-page-123.htm</w:t>
      </w:r>
    </w:p>
    <w:p w:rsidR="00BE2F0F" w:rsidRDefault="006A1BC6">
      <w:bookmarkStart w:id="0" w:name="_GoBack"/>
      <w:bookmarkEnd w:id="0"/>
    </w:p>
    <w:sectPr w:rsidR="00BE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egreya">
    <w:altName w:val="Cambria"/>
    <w:panose1 w:val="00000000000000000000"/>
    <w:charset w:val="00"/>
    <w:family w:val="roman"/>
    <w:notTrueType/>
    <w:pitch w:val="default"/>
  </w:font>
  <w:font w:name="Alegreya Sans SC">
    <w:altName w:val="Cambria"/>
    <w:panose1 w:val="00000000000000000000"/>
    <w:charset w:val="00"/>
    <w:family w:val="roman"/>
    <w:notTrueType/>
    <w:pitch w:val="default"/>
  </w:font>
  <w:font w:name="Alegreya S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59CE"/>
    <w:multiLevelType w:val="multilevel"/>
    <w:tmpl w:val="05EA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0556B"/>
    <w:multiLevelType w:val="multilevel"/>
    <w:tmpl w:val="4AE2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363E6"/>
    <w:multiLevelType w:val="multilevel"/>
    <w:tmpl w:val="7E8E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C6"/>
    <w:rsid w:val="003666F8"/>
    <w:rsid w:val="006A1BC6"/>
    <w:rsid w:val="00EB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B5DE"/>
  <w15:chartTrackingRefBased/>
  <w15:docId w15:val="{951B5B3C-029F-4968-95D5-7E3417BB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-article">
    <w:name w:val="titre-article"/>
    <w:basedOn w:val="Normal"/>
    <w:rsid w:val="006A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s-titre-article">
    <w:name w:val="sous-titre-article"/>
    <w:basedOn w:val="Normal"/>
    <w:rsid w:val="006A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ta">
    <w:name w:val="meta"/>
    <w:basedOn w:val="Normal"/>
    <w:rsid w:val="006A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teur">
    <w:name w:val="auteur"/>
    <w:basedOn w:val="Policepardfaut"/>
    <w:rsid w:val="006A1BC6"/>
  </w:style>
  <w:style w:type="character" w:styleId="Lienhypertexte">
    <w:name w:val="Hyperlink"/>
    <w:basedOn w:val="Policepardfaut"/>
    <w:uiPriority w:val="99"/>
    <w:semiHidden/>
    <w:unhideWhenUsed/>
    <w:rsid w:val="006A1BC6"/>
    <w:rPr>
      <w:color w:val="0000FF"/>
      <w:u w:val="single"/>
    </w:rPr>
  </w:style>
  <w:style w:type="character" w:customStyle="1" w:styleId="in-revue">
    <w:name w:val="in-revue"/>
    <w:basedOn w:val="Policepardfaut"/>
    <w:rsid w:val="006A1BC6"/>
  </w:style>
  <w:style w:type="character" w:customStyle="1" w:styleId="titre-revue">
    <w:name w:val="titre-revue"/>
    <w:basedOn w:val="Policepardfaut"/>
    <w:rsid w:val="006A1BC6"/>
  </w:style>
  <w:style w:type="character" w:customStyle="1" w:styleId="material-icons">
    <w:name w:val="material-icons"/>
    <w:basedOn w:val="Policepardfaut"/>
    <w:rsid w:val="006A1BC6"/>
  </w:style>
  <w:style w:type="character" w:customStyle="1" w:styleId="name">
    <w:name w:val="name"/>
    <w:basedOn w:val="Policepardfaut"/>
    <w:rsid w:val="006A1BC6"/>
  </w:style>
  <w:style w:type="paragraph" w:customStyle="1" w:styleId="active">
    <w:name w:val="active"/>
    <w:basedOn w:val="Normal"/>
    <w:rsid w:val="006A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A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A1BC6"/>
    <w:rPr>
      <w:i/>
      <w:iCs/>
    </w:rPr>
  </w:style>
  <w:style w:type="paragraph" w:customStyle="1" w:styleId="motcle">
    <w:name w:val="motcle"/>
    <w:basedOn w:val="Normal"/>
    <w:rsid w:val="006A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7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79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53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0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8614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7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93656">
                                      <w:marLeft w:val="-15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58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1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6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rn.info/revue-cahiers-de-psychologie-clinique-2021-2-page-12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irn.info/revue-cahiers-de-psychologie-clinique-2021-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irn.info/revue-cahiers-de-psychologie-clinique.htm" TargetMode="External"/><Relationship Id="rId5" Type="http://schemas.openxmlformats.org/officeDocument/2006/relationships/hyperlink" Target="https://www.cairn.info/publications-de-Nathalie-Reymond-Babolat--723956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FOUADE VILACEQUE</dc:creator>
  <cp:keywords/>
  <dc:description/>
  <cp:lastModifiedBy>Marie FOUADE VILACEQUE</cp:lastModifiedBy>
  <cp:revision>1</cp:revision>
  <dcterms:created xsi:type="dcterms:W3CDTF">2022-08-02T08:12:00Z</dcterms:created>
  <dcterms:modified xsi:type="dcterms:W3CDTF">2022-08-02T08:16:00Z</dcterms:modified>
</cp:coreProperties>
</file>